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42EA" w14:textId="4C7F7DA2" w:rsidR="00CE55E8" w:rsidRDefault="00CE55E8" w:rsidP="003E6479">
      <w:pPr>
        <w:keepNext/>
        <w:keepLines/>
        <w:spacing w:after="77"/>
        <w:ind w:left="-5" w:hanging="10"/>
        <w:outlineLvl w:val="0"/>
        <w:rPr>
          <w:rFonts w:ascii="Calibri" w:eastAsia="Calibri" w:hAnsi="Calibri" w:cs="Calibri"/>
          <w:b/>
          <w:color w:val="2F5496"/>
          <w:sz w:val="24"/>
          <w:lang w:eastAsia="es-ES"/>
        </w:rPr>
      </w:pPr>
    </w:p>
    <w:p w14:paraId="52038199" w14:textId="3E95518D" w:rsidR="009138DE" w:rsidRPr="009138DE" w:rsidRDefault="009138DE" w:rsidP="009138DE">
      <w:pPr>
        <w:keepNext/>
        <w:keepLines/>
        <w:spacing w:after="77"/>
        <w:ind w:left="-5" w:hanging="10"/>
        <w:jc w:val="center"/>
        <w:outlineLvl w:val="0"/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</w:pPr>
      <w:bookmarkStart w:id="0" w:name="_GoBack"/>
      <w:r w:rsidRPr="009138DE"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  <w:t>ANEXO II</w:t>
      </w:r>
    </w:p>
    <w:bookmarkEnd w:id="0"/>
    <w:p w14:paraId="05760106" w14:textId="77777777" w:rsid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b/>
          <w:color w:val="2F5496"/>
          <w:lang w:eastAsia="es-ES"/>
        </w:rPr>
      </w:pPr>
    </w:p>
    <w:p w14:paraId="73103007" w14:textId="77777777" w:rsidR="00681642" w:rsidRPr="00CE55E8" w:rsidRDefault="00681642" w:rsidP="00681642">
      <w:pPr>
        <w:keepNext/>
        <w:keepLines/>
        <w:spacing w:after="77"/>
        <w:ind w:left="-5" w:hanging="10"/>
        <w:outlineLvl w:val="0"/>
        <w:rPr>
          <w:rFonts w:eastAsia="Calibri" w:cs="Calibri"/>
          <w:color w:val="2F5496"/>
          <w:lang w:eastAsia="es-ES"/>
        </w:rPr>
      </w:pPr>
      <w:r w:rsidRPr="00CE55E8">
        <w:rPr>
          <w:rFonts w:eastAsia="Calibri" w:cs="Calibri"/>
          <w:b/>
          <w:color w:val="2F5496"/>
          <w:lang w:eastAsia="es-ES"/>
        </w:rPr>
        <w:t xml:space="preserve">PRINCIPIO DE “NO CAUSAR PERJUICIO SIGNIFICATIVO” (DNSH) </w:t>
      </w:r>
    </w:p>
    <w:p w14:paraId="4F0F7F38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209058CB" w14:textId="77777777" w:rsidR="00681642" w:rsidRPr="00CE55E8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Reglamento de Disposiciones Comunes (Reglamento (UE) 2021/1060) establece en su considerando 10 que “los Fondos deben apoyar actividades que respeten las normas y prioridades en materia de clima y medio ambiente de la Unión y que no causen un perjuicio significativo a los objetivos medioambientales en el sentido del artículo 17 del Reglamento (UE) 2020/852 del Parlamento Europeo y del Consejo” </w:t>
      </w:r>
    </w:p>
    <w:p w14:paraId="5CAB283B" w14:textId="77777777" w:rsidR="00681642" w:rsidRPr="00CE55E8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De este modo, el cumplimiento del principio de no causar un perjuicio significativo (DNSH) a ninguno de los seis objetivos ambientales recogidos en el Reglamento 2020/852de Taxonomía se configura como uno de los principios horizontales de la Política de Cohesión.  </w:t>
      </w:r>
    </w:p>
    <w:p w14:paraId="2D333A06" w14:textId="77777777" w:rsidR="00681642" w:rsidRPr="00CE55E8" w:rsidRDefault="00681642" w:rsidP="00681642">
      <w:pPr>
        <w:spacing w:after="122" w:line="238" w:lineRule="auto"/>
        <w:ind w:right="4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principio de DNSH debe ser interpretado en el sentido del artículo 17 del Reglamento (UE) 2020/852 del Parlamento Europeo y del Consejo que establece qué se considera “perjuicio significativo” para los 6 objetivos medioambientales recogidos en el Reglamento de Taxonomía: </w:t>
      </w:r>
    </w:p>
    <w:p w14:paraId="2145C2CF" w14:textId="77777777" w:rsidR="00681642" w:rsidRPr="00CE55E8" w:rsidRDefault="00681642" w:rsidP="00681642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mitigación del cambio climático</w:t>
      </w:r>
      <w:r w:rsidRPr="00CE55E8">
        <w:rPr>
          <w:rFonts w:eastAsia="Calibri" w:cs="Calibri"/>
          <w:color w:val="000000"/>
          <w:lang w:eastAsia="es-ES"/>
        </w:rPr>
        <w:t xml:space="preserve"> si da lugar a considerables emisiones de gases de efecto invernadero (GEI); </w:t>
      </w:r>
    </w:p>
    <w:p w14:paraId="0C4F55BF" w14:textId="77777777" w:rsidR="00681642" w:rsidRPr="00CE55E8" w:rsidRDefault="00681642" w:rsidP="00681642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adaptación al cambio climático</w:t>
      </w:r>
      <w:r w:rsidRPr="00CE55E8">
        <w:rPr>
          <w:rFonts w:eastAsia="Calibri" w:cs="Calibri"/>
          <w:color w:val="000000"/>
          <w:lang w:eastAsia="es-ES"/>
        </w:rPr>
        <w:t xml:space="preserve"> si provoca un aumento de los efectos adversos de las condiciones climáticas actuales y de las previstas en el futuro, sobre sí misma o en las personas, la naturaleza o los activos; </w:t>
      </w:r>
    </w:p>
    <w:p w14:paraId="5A992BFE" w14:textId="77777777" w:rsidR="00681642" w:rsidRPr="00CE55E8" w:rsidRDefault="00681642" w:rsidP="00681642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utilización y protección sostenibles de los recursos hídricos y marinos</w:t>
      </w:r>
      <w:r w:rsidRPr="00CE55E8">
        <w:rPr>
          <w:rFonts w:eastAsia="Calibri" w:cs="Calibri"/>
          <w:color w:val="000000"/>
          <w:lang w:eastAsia="es-ES"/>
        </w:rPr>
        <w:t xml:space="preserve"> si va en detrimento del buen estado o del buen potencial ecológico de las masas de agua, incluidas las superficiales y subterráneas, y del buen estado ecológico de las aguas marinas; </w:t>
      </w:r>
    </w:p>
    <w:p w14:paraId="4139A489" w14:textId="77777777" w:rsidR="00681642" w:rsidRPr="00CE55E8" w:rsidRDefault="00681642" w:rsidP="00681642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economía circular, incluidos la prevención y el reciclado de residuos</w:t>
      </w:r>
      <w:r w:rsidRPr="00CE55E8">
        <w:rPr>
          <w:rFonts w:eastAsia="Calibri" w:cs="Calibri"/>
          <w:color w:val="000000"/>
          <w:lang w:eastAsia="es-ES"/>
        </w:rPr>
        <w:t xml:space="preserve">, si genera importantes ineficiencias en el uso de materiales o en el uso directo o indirecto de recursos naturales; si da lugar a un aumento significativo de la generación, incineración o eliminación de residuos; o si la eliminación de residuos a largo plazo puede causar un perjuicio significativo y a largo plazo para el medio ambiente; </w:t>
      </w:r>
    </w:p>
    <w:p w14:paraId="5B69FFDF" w14:textId="77777777" w:rsidR="00681642" w:rsidRPr="00CE55E8" w:rsidRDefault="00681642" w:rsidP="00681642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prevención y el control de la contaminación</w:t>
      </w:r>
      <w:r w:rsidRPr="00CE55E8">
        <w:rPr>
          <w:rFonts w:eastAsia="Calibri" w:cs="Calibri"/>
          <w:color w:val="000000"/>
          <w:lang w:eastAsia="es-ES"/>
        </w:rPr>
        <w:t xml:space="preserve"> cuando da lugar a un aumento significativo de las emisiones de contaminantes a la atmósfera, el agua o el suelo; </w:t>
      </w:r>
    </w:p>
    <w:p w14:paraId="0C8A01A1" w14:textId="77777777" w:rsidR="00681642" w:rsidRPr="00CE55E8" w:rsidRDefault="00681642" w:rsidP="00681642">
      <w:pPr>
        <w:pStyle w:val="Prrafodelista"/>
        <w:numPr>
          <w:ilvl w:val="0"/>
          <w:numId w:val="1"/>
        </w:numPr>
        <w:ind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protección y restauración de la biodiversidad y los ecosistemas</w:t>
      </w:r>
      <w:r w:rsidRPr="00CE55E8">
        <w:rPr>
          <w:rFonts w:eastAsia="Calibri" w:cs="Calibri"/>
          <w:color w:val="000000"/>
          <w:lang w:eastAsia="es-ES"/>
        </w:rPr>
        <w:t xml:space="preserve">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256D3B62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6A8BD36C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113AD89D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1994B49D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78E199A3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01D001AC" w14:textId="77777777" w:rsidR="00681642" w:rsidRDefault="00681642" w:rsidP="00681642">
      <w:pPr>
        <w:rPr>
          <w:rFonts w:eastAsia="Calibri" w:cs="Calibri"/>
          <w:b/>
          <w:color w:val="2F5496"/>
        </w:rPr>
      </w:pPr>
    </w:p>
    <w:p w14:paraId="23DCD5EA" w14:textId="77777777" w:rsidR="00681642" w:rsidRPr="00CE55E8" w:rsidRDefault="00681642" w:rsidP="00681642">
      <w:pPr>
        <w:rPr>
          <w:rFonts w:eastAsia="Calibri" w:cs="Calibri"/>
          <w:b/>
          <w:color w:val="2F5496"/>
        </w:rPr>
      </w:pPr>
      <w:r w:rsidRPr="00CE55E8">
        <w:rPr>
          <w:rFonts w:eastAsia="Calibri" w:cs="Calibri"/>
          <w:b/>
          <w:color w:val="2F5496"/>
        </w:rPr>
        <w:t>JUSTIFICACIÓN DE CONFORMIDAD CON EL PRINCIPIO DNSH</w:t>
      </w:r>
    </w:p>
    <w:p w14:paraId="6A072EDA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CE55E8">
        <w:rPr>
          <w:rFonts w:eastAsia="Calibri" w:cs="Calibri"/>
          <w:b/>
          <w:color w:val="000000"/>
          <w:lang w:eastAsia="es-ES"/>
        </w:rPr>
        <w:t>Evaluación del DNSH por tipología de actuación</w:t>
      </w:r>
    </w:p>
    <w:p w14:paraId="309D3E8F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1B75B3DE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196041">
        <w:rPr>
          <w:rFonts w:eastAsia="Calibri" w:cs="Calibri"/>
          <w:color w:val="000000"/>
          <w:lang w:eastAsia="es-ES"/>
        </w:rPr>
        <w:t>La evaluación va a consistir en determinar para cada una de las actuaciones cuál es el efecto sobre cuatro de los seis objetivos medioambientales</w:t>
      </w:r>
      <w:r>
        <w:rPr>
          <w:rFonts w:eastAsia="Calibri" w:cs="Calibri"/>
          <w:color w:val="000000"/>
          <w:lang w:eastAsia="es-ES"/>
        </w:rPr>
        <w:t>. L</w:t>
      </w:r>
      <w:r w:rsidRPr="00196041">
        <w:rPr>
          <w:rFonts w:eastAsia="Calibri" w:cs="Calibri"/>
          <w:color w:val="000000"/>
          <w:lang w:eastAsia="es-ES"/>
        </w:rPr>
        <w:t>os objetivos relacionados con la mitigación del cambio climático y adaptación del cambio climático, en el caso de tener que realizar una evaluación sustantiva, se van a realizar mediante el “climate proofing”.</w:t>
      </w:r>
    </w:p>
    <w:p w14:paraId="0D81FCCE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4ECC244E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se va a realizar siguiendo lo recogido en el documento “Guía DSH urbano”. Consiste en dos fases:</w:t>
      </w:r>
    </w:p>
    <w:p w14:paraId="0899AA64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0A2A80F1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96041">
        <w:rPr>
          <w:rFonts w:eastAsia="Calibri" w:cs="Calibri"/>
          <w:b/>
          <w:color w:val="000000"/>
          <w:lang w:eastAsia="es-ES"/>
        </w:rPr>
        <w:t xml:space="preserve">FASE I: </w:t>
      </w:r>
      <w:r>
        <w:rPr>
          <w:rFonts w:eastAsia="Calibri" w:cs="Calibri"/>
          <w:b/>
          <w:color w:val="000000"/>
          <w:lang w:eastAsia="es-ES"/>
        </w:rPr>
        <w:t>Evaluación simplificada</w:t>
      </w:r>
    </w:p>
    <w:p w14:paraId="1BA16363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E33273">
        <w:rPr>
          <w:rFonts w:eastAsia="Calibri" w:cs="Calibri"/>
          <w:color w:val="000000"/>
          <w:lang w:eastAsia="es-ES"/>
        </w:rPr>
        <w:t xml:space="preserve">En esta </w:t>
      </w:r>
      <w:r>
        <w:rPr>
          <w:rFonts w:eastAsia="Calibri" w:cs="Calibri"/>
          <w:color w:val="000000"/>
          <w:lang w:eastAsia="es-ES"/>
        </w:rPr>
        <w:t xml:space="preserve">fase se determina </w:t>
      </w:r>
      <w:proofErr w:type="spellStart"/>
      <w:r>
        <w:rPr>
          <w:rFonts w:eastAsia="Calibri" w:cs="Calibri"/>
          <w:color w:val="000000"/>
          <w:lang w:eastAsia="es-ES"/>
        </w:rPr>
        <w:t>cual</w:t>
      </w:r>
      <w:proofErr w:type="spellEnd"/>
      <w:r>
        <w:rPr>
          <w:rFonts w:eastAsia="Calibri" w:cs="Calibri"/>
          <w:color w:val="000000"/>
          <w:lang w:eastAsia="es-ES"/>
        </w:rPr>
        <w:t xml:space="preserve"> de los seis objetivos medio ambientales requieren de una evaluación en más detalle mediante una evaluación sustantiva.</w:t>
      </w:r>
    </w:p>
    <w:p w14:paraId="196E8B88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viene predeterminada según la tipología de actuación.</w:t>
      </w:r>
    </w:p>
    <w:p w14:paraId="40EBAD95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aquellos objetivos que se requiera una evaluación en </w:t>
      </w:r>
      <w:proofErr w:type="spellStart"/>
      <w:r>
        <w:rPr>
          <w:rFonts w:eastAsia="Calibri" w:cs="Calibri"/>
          <w:color w:val="000000"/>
          <w:lang w:eastAsia="es-ES"/>
        </w:rPr>
        <w:t>mas</w:t>
      </w:r>
      <w:proofErr w:type="spellEnd"/>
      <w:r>
        <w:rPr>
          <w:rFonts w:eastAsia="Calibri" w:cs="Calibri"/>
          <w:color w:val="000000"/>
          <w:lang w:eastAsia="es-ES"/>
        </w:rPr>
        <w:t xml:space="preserve"> detalle pasamos a la segunda fase, evaluación sustantiva.</w:t>
      </w:r>
    </w:p>
    <w:p w14:paraId="2C6F0A6B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3AEF63D1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E33273">
        <w:rPr>
          <w:rFonts w:eastAsia="Calibri" w:cs="Calibri"/>
          <w:b/>
          <w:color w:val="000000"/>
          <w:lang w:eastAsia="es-ES"/>
        </w:rPr>
        <w:t>FASE II: Evaluación sustantiva</w:t>
      </w:r>
    </w:p>
    <w:p w14:paraId="0CD52491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67E887C5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B551C">
        <w:rPr>
          <w:rFonts w:eastAsia="Calibri" w:cs="Calibri"/>
          <w:color w:val="000000"/>
          <w:lang w:eastAsia="es-ES"/>
        </w:rPr>
        <w:t>En aquellos objetivos medioambientales que en la Fase I vengan marcados con “si”</w:t>
      </w:r>
      <w:r>
        <w:rPr>
          <w:rFonts w:eastAsia="Calibri" w:cs="Calibri"/>
          <w:color w:val="000000"/>
          <w:lang w:eastAsia="es-ES"/>
        </w:rPr>
        <w:t>, tendremos que realizar la evaluación sustantiva contestando a las preguntas recogidas en la tabla adjunta.</w:t>
      </w:r>
    </w:p>
    <w:p w14:paraId="5EAD7A24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el caso que la respuesta a las preguntas sea “no”, en primer </w:t>
      </w:r>
      <w:proofErr w:type="gramStart"/>
      <w:r>
        <w:rPr>
          <w:rFonts w:eastAsia="Calibri" w:cs="Calibri"/>
          <w:color w:val="000000"/>
          <w:lang w:eastAsia="es-ES"/>
        </w:rPr>
        <w:t>lugar</w:t>
      </w:r>
      <w:proofErr w:type="gramEnd"/>
      <w:r>
        <w:rPr>
          <w:rFonts w:eastAsia="Calibri" w:cs="Calibri"/>
          <w:color w:val="000000"/>
          <w:lang w:eastAsia="es-ES"/>
        </w:rPr>
        <w:t xml:space="preserve"> habrá que explicar el motivo de la respuesta (en la tabla adjunta vienen establecidas una serie de justificaciones que sirven de guía) y en segundo lugar habrá que indicar en la columna correspondiente el instrumento o instrumentos, </w:t>
      </w:r>
      <w:r w:rsidRPr="00CB551C">
        <w:rPr>
          <w:rFonts w:eastAsia="Calibri" w:cs="Calibri"/>
          <w:color w:val="000000"/>
          <w:lang w:eastAsia="es-ES"/>
        </w:rPr>
        <w:t>documentación justificativa</w:t>
      </w:r>
      <w:r>
        <w:rPr>
          <w:rFonts w:eastAsia="Calibri" w:cs="Calibri"/>
          <w:color w:val="000000"/>
          <w:lang w:eastAsia="es-ES"/>
        </w:rPr>
        <w:t xml:space="preserve"> que nos va a servir para acreditar </w:t>
      </w:r>
      <w:r w:rsidRPr="00CB551C">
        <w:rPr>
          <w:rFonts w:eastAsia="Calibri" w:cs="Calibri"/>
          <w:color w:val="000000"/>
          <w:lang w:eastAsia="es-ES"/>
        </w:rPr>
        <w:t>el cumplimiento de los condicionantes ambientales.</w:t>
      </w:r>
    </w:p>
    <w:p w14:paraId="40338E4C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Estos instrumentos acreditativos deben conservarse y formar parte del expediente.</w:t>
      </w:r>
    </w:p>
    <w:p w14:paraId="14E6BD93" w14:textId="77777777" w:rsidR="00681642" w:rsidRPr="00196041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73035A36" w14:textId="77777777" w:rsidR="00681642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Una vez realizada la autoevaluación debe analizarse cuál es la normativa de cumplimiento 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 xml:space="preserve">y los condicionantes a cumplir por el ejecutor de la actuación de cara a su inclusión </w:t>
      </w:r>
      <w:r w:rsidRPr="00CE55E8">
        <w:rPr>
          <w:rFonts w:eastAsia="Calibri" w:cs="Calibri"/>
          <w:color w:val="000000"/>
          <w:lang w:eastAsia="es-ES"/>
        </w:rPr>
        <w:t>en los pliegos</w:t>
      </w:r>
      <w:r>
        <w:rPr>
          <w:rFonts w:eastAsia="Calibri" w:cs="Calibri"/>
          <w:color w:val="000000"/>
          <w:lang w:eastAsia="es-ES"/>
        </w:rPr>
        <w:t>/y o documentación de tramitación, como</w:t>
      </w:r>
      <w:r w:rsidRPr="00CE55E8">
        <w:rPr>
          <w:rFonts w:eastAsia="Calibri" w:cs="Calibri"/>
          <w:color w:val="000000"/>
          <w:lang w:eastAsia="es-ES"/>
        </w:rPr>
        <w:t xml:space="preserve"> normativa de referencia</w:t>
      </w:r>
      <w:r>
        <w:rPr>
          <w:rFonts w:eastAsia="Calibri" w:cs="Calibri"/>
          <w:color w:val="000000"/>
          <w:lang w:eastAsia="es-ES"/>
        </w:rPr>
        <w:t xml:space="preserve"> y</w:t>
      </w:r>
      <w:r w:rsidRPr="00CE55E8">
        <w:rPr>
          <w:rFonts w:eastAsia="Calibri" w:cs="Calibri"/>
          <w:color w:val="000000"/>
          <w:lang w:eastAsia="es-ES"/>
        </w:rPr>
        <w:t xml:space="preserve"> obligaciones</w:t>
      </w:r>
      <w:r>
        <w:rPr>
          <w:rFonts w:eastAsia="Calibri" w:cs="Calibri"/>
          <w:color w:val="000000"/>
          <w:lang w:eastAsia="es-ES"/>
        </w:rPr>
        <w:t xml:space="preserve"> del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contratista/subcontratista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en referencia al</w:t>
      </w:r>
      <w:r w:rsidRPr="00CE55E8">
        <w:rPr>
          <w:rFonts w:eastAsia="Calibri" w:cs="Calibri"/>
          <w:color w:val="000000"/>
          <w:lang w:eastAsia="es-ES"/>
        </w:rPr>
        <w:t xml:space="preserve"> cumplimiento normativo como </w:t>
      </w:r>
      <w:r>
        <w:rPr>
          <w:rFonts w:eastAsia="Calibri" w:cs="Calibri"/>
          <w:color w:val="000000"/>
          <w:lang w:eastAsia="es-ES"/>
        </w:rPr>
        <w:t xml:space="preserve">de documentación </w:t>
      </w:r>
      <w:r w:rsidRPr="00CE55E8">
        <w:rPr>
          <w:rFonts w:eastAsia="Calibri" w:cs="Calibri"/>
          <w:color w:val="000000"/>
          <w:lang w:eastAsia="es-ES"/>
        </w:rPr>
        <w:t>justifica</w:t>
      </w:r>
      <w:r>
        <w:rPr>
          <w:rFonts w:eastAsia="Calibri" w:cs="Calibri"/>
          <w:color w:val="000000"/>
          <w:lang w:eastAsia="es-ES"/>
        </w:rPr>
        <w:t>tiva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a entregar.</w:t>
      </w:r>
    </w:p>
    <w:p w14:paraId="62A8B117" w14:textId="77777777" w:rsidR="00681642" w:rsidRPr="00CE55E8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7C9EB9B6" w14:textId="77777777" w:rsidR="00681642" w:rsidRPr="00181938" w:rsidRDefault="00681642" w:rsidP="00681642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81938">
        <w:rPr>
          <w:rFonts w:eastAsia="Calibri" w:cs="Calibri"/>
          <w:b/>
          <w:color w:val="000000"/>
          <w:lang w:eastAsia="es-ES"/>
        </w:rPr>
        <w:t>Esta evaluación debe entregarse con la solicitud de las operaciones.</w:t>
      </w:r>
    </w:p>
    <w:p w14:paraId="66D15DD7" w14:textId="77777777" w:rsidR="00AF3182" w:rsidRDefault="00AF3182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  <w:sectPr w:rsidR="00AF3182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A7969E" w14:textId="77777777" w:rsidR="00782880" w:rsidRDefault="00AF3182" w:rsidP="00AF3182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  <w:r w:rsidRPr="002D5A16">
        <w:rPr>
          <w:rFonts w:eastAsia="Calibri" w:cs="Calibri"/>
          <w:b/>
          <w:color w:val="2F5496"/>
          <w:lang w:eastAsia="es-ES"/>
        </w:rPr>
        <w:lastRenderedPageBreak/>
        <w:t xml:space="preserve">Tipo de acción </w:t>
      </w:r>
      <w:r w:rsidR="00782880">
        <w:rPr>
          <w:rFonts w:eastAsia="Calibri" w:cs="Calibri"/>
          <w:b/>
          <w:color w:val="2F5496"/>
          <w:lang w:eastAsia="es-ES"/>
        </w:rPr>
        <w:t>1</w:t>
      </w:r>
      <w:r w:rsidR="007B5E0E">
        <w:rPr>
          <w:rFonts w:eastAsia="Calibri" w:cs="Calibri"/>
          <w:b/>
          <w:color w:val="2F5496"/>
          <w:lang w:eastAsia="es-ES"/>
        </w:rPr>
        <w:t>:</w:t>
      </w:r>
      <w:r w:rsidRPr="002D5A16">
        <w:rPr>
          <w:rFonts w:eastAsia="Calibri" w:cs="Calibri"/>
          <w:b/>
          <w:color w:val="2F5496"/>
          <w:lang w:eastAsia="es-ES"/>
        </w:rPr>
        <w:t xml:space="preserve"> </w:t>
      </w:r>
      <w:r w:rsidR="00782880" w:rsidRPr="00782880">
        <w:rPr>
          <w:rFonts w:eastAsia="Calibri" w:cs="Calibri"/>
          <w:b/>
          <w:color w:val="2F5496"/>
          <w:lang w:eastAsia="es-ES"/>
        </w:rPr>
        <w:t>Digitalización y dinamización económica. Subtipo de acción 1.2: Dinamización económica del entorno local</w:t>
      </w:r>
    </w:p>
    <w:p w14:paraId="5C858C0A" w14:textId="3EE8D106" w:rsidR="00581A3E" w:rsidRPr="002D5A16" w:rsidRDefault="00581A3E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La evaluación del principio de DNSH se realiza en dos fases:</w:t>
      </w:r>
    </w:p>
    <w:p w14:paraId="0A5A3999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 xml:space="preserve">Fase </w:t>
      </w:r>
      <w:proofErr w:type="gramStart"/>
      <w:r w:rsidRPr="002D5A16">
        <w:rPr>
          <w:rFonts w:eastAsia="Calibri" w:cs="Calibri"/>
          <w:b/>
          <w:color w:val="000000"/>
          <w:lang w:eastAsia="es-ES"/>
        </w:rPr>
        <w:t>I :</w:t>
      </w:r>
      <w:proofErr w:type="gramEnd"/>
      <w:r w:rsidRPr="002D5A16">
        <w:rPr>
          <w:rFonts w:eastAsia="Calibri" w:cs="Calibri"/>
          <w:b/>
          <w:color w:val="000000"/>
          <w:lang w:eastAsia="es-ES"/>
        </w:rPr>
        <w:t xml:space="preserve"> Evaluación simplificada</w:t>
      </w:r>
    </w:p>
    <w:p w14:paraId="038A9DDE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>Fase II: Evaluación sustantiva:</w:t>
      </w:r>
    </w:p>
    <w:p w14:paraId="77D70A1D" w14:textId="77777777" w:rsidR="00B21964" w:rsidRPr="002D5A16" w:rsidRDefault="00B21964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Una vez realizada la evaluación simplificada en todos aquellos objetivos medioambientales que se ha marcado “si” en la evaluación anterior, deben ser analizados e indicar si requieren de una evaluación sustantiva o no. En el caso de indicar que no se debe explicar el por qué y que instrumentos te van a servir de apoyo para el cumplimiento de esos objetivos medioambientales</w:t>
      </w:r>
    </w:p>
    <w:tbl>
      <w:tblPr>
        <w:tblStyle w:val="TableGrid"/>
        <w:tblW w:w="15314" w:type="dxa"/>
        <w:tblInd w:w="7" w:type="dxa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1218"/>
        <w:gridCol w:w="14096"/>
      </w:tblGrid>
      <w:tr w:rsidR="00AF3182" w:rsidRPr="002D5A16" w14:paraId="2441E1E3" w14:textId="77777777" w:rsidTr="00F416D4">
        <w:trPr>
          <w:trHeight w:val="997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0FABEAC8" w14:textId="77777777" w:rsidR="00AF3182" w:rsidRPr="002D5A16" w:rsidRDefault="00AF3182" w:rsidP="00AF3182">
            <w:pPr>
              <w:ind w:left="37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Aplicación del DNSH </w:t>
            </w:r>
          </w:p>
        </w:tc>
        <w:tc>
          <w:tcPr>
            <w:tcW w:w="1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5F1" w14:textId="77777777" w:rsidR="00782880" w:rsidRPr="00782880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En este bloque se han agrupado acciones que, por su naturaleza de soluciones digitales para dinamización del comercio local en el ámbito municipal, resultan asimilables a las actuaciones que se pueden recoger en el objetivo específico 1.2 (Aprovechar las ventajas que ofrece la digitalización a los ciudadanos, las empresas, las organizaciones de investigación y las Administraciones Públicas).</w:t>
            </w:r>
          </w:p>
          <w:p w14:paraId="17814FB4" w14:textId="0556E262" w:rsidR="00F416D4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Por este motivo, la evaluación del DNSH seguirá las consideraciones plasmadas en la propia evaluación del DNSH para el Objetivo Político 1, Objetivo Específico 1.2 del POPE.</w:t>
            </w:r>
          </w:p>
          <w:p w14:paraId="71377C7A" w14:textId="77777777" w:rsidR="00782880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  <w:p w14:paraId="1F6C994D" w14:textId="1B78CEF3" w:rsidR="00AF3182" w:rsidRPr="002D5A16" w:rsidRDefault="00AF3182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1-. Evaluación simplificada </w:t>
            </w:r>
          </w:p>
        </w:tc>
      </w:tr>
    </w:tbl>
    <w:tbl>
      <w:tblPr>
        <w:tblStyle w:val="TableGrid1"/>
        <w:tblW w:w="15297" w:type="dxa"/>
        <w:tblInd w:w="7" w:type="dxa"/>
        <w:tblLayout w:type="fixed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5963"/>
        <w:gridCol w:w="567"/>
        <w:gridCol w:w="1275"/>
        <w:gridCol w:w="6804"/>
      </w:tblGrid>
      <w:tr w:rsidR="007C4DDC" w:rsidRPr="002D5A16" w14:paraId="35B2852A" w14:textId="77777777" w:rsidTr="00782880">
        <w:trPr>
          <w:trHeight w:val="863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37CD0" w14:textId="77777777" w:rsidR="007C4DDC" w:rsidRPr="002D5A16" w:rsidRDefault="007C4DD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</w:tcPr>
          <w:p w14:paraId="6557E5A4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Indicar si los siguientes objetivos medioambientales requieren una evaluación sustantiva del principio DNSH del tipo de acción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11B99D" w14:textId="77777777" w:rsidR="007C4DDC" w:rsidRPr="002D5A16" w:rsidRDefault="007C4DDC" w:rsidP="00AF3182">
            <w:pPr>
              <w:ind w:right="37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0AB199" w14:textId="77777777" w:rsidR="007C4DDC" w:rsidRPr="002D5A16" w:rsidRDefault="007C4DDC" w:rsidP="00AF3182">
            <w:pPr>
              <w:ind w:left="7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C1445" w14:textId="77777777" w:rsidR="007C4DDC" w:rsidRPr="002D5A16" w:rsidRDefault="007C4DDC" w:rsidP="00AF3182">
            <w:pPr>
              <w:ind w:right="3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ha seleccionado "NO" explicar los motivos </w:t>
            </w:r>
          </w:p>
        </w:tc>
      </w:tr>
      <w:tr w:rsidR="00F416D4" w:rsidRPr="002D5A16" w14:paraId="2FF1ABD4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642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1CAB7DE4" w14:textId="77777777" w:rsidR="00F416D4" w:rsidRPr="002D5A16" w:rsidRDefault="00F416D4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9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21" w14:textId="05D927ED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741" w14:textId="77777777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5A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0F5" w14:textId="4612408C" w:rsidR="00F416D4" w:rsidRPr="002D5A16" w:rsidRDefault="00782880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Este tipo de actuaciones, por su naturaleza, tienen un impacto nulo o insignificante en este objetivo </w:t>
            </w:r>
            <w:proofErr w:type="gramStart"/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medioambiental.</w:t>
            </w:r>
            <w:r w:rsidR="00F416D4" w:rsidRPr="00F416D4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.</w:t>
            </w:r>
            <w:proofErr w:type="gramEnd"/>
          </w:p>
        </w:tc>
      </w:tr>
      <w:tr w:rsidR="00F416D4" w:rsidRPr="00AF3182" w14:paraId="13F94731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67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9C007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4BA8" w14:textId="5324441A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Adaptación al cambio climático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EC3" w14:textId="77777777" w:rsidR="00F416D4" w:rsidRPr="002D5A16" w:rsidRDefault="00F416D4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D130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109" w14:textId="3FE0DA7B" w:rsidR="00F416D4" w:rsidRPr="002D5A16" w:rsidRDefault="00782880" w:rsidP="007B5E0E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F416D4" w:rsidRPr="00AF3182" w14:paraId="372A902D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CCC16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F47D" w14:textId="61814EA9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sostenible y protección de los recursos hídricos y marinos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769" w14:textId="060C3BFB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657B" w14:textId="4F7ABCA6" w:rsidR="00F416D4" w:rsidRPr="002D5A16" w:rsidRDefault="00F416D4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D76" w14:textId="6C8A6A4A" w:rsidR="00F416D4" w:rsidRPr="002D5A16" w:rsidRDefault="00782880" w:rsidP="00F416D4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F416D4" w:rsidRPr="00AF3182" w14:paraId="76DA79F0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9CCAF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6C4C" w14:textId="2E9FBEC7" w:rsidR="00F416D4" w:rsidRPr="002D5A16" w:rsidRDefault="00F416D4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Economía circular, incluidos la prevención y el reciclado d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residuos </w:t>
            </w:r>
          </w:p>
          <w:p w14:paraId="78C57CC2" w14:textId="47AC0DF1" w:rsidR="00F416D4" w:rsidRPr="002D5A16" w:rsidRDefault="00F416D4" w:rsidP="002D5A16">
            <w:pPr>
              <w:ind w:left="-4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9FF" w14:textId="61112589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E6E" w14:textId="4DC81799" w:rsidR="00F416D4" w:rsidRPr="002D5A16" w:rsidRDefault="00F416D4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="00782880"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725" w14:textId="048401B1" w:rsidR="00F416D4" w:rsidRPr="002D5A16" w:rsidRDefault="00F416D4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="00782880"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782880" w:rsidRPr="00AF3182" w14:paraId="6E258F9E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71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4E400" w14:textId="77777777" w:rsidR="00782880" w:rsidRPr="00AF3182" w:rsidRDefault="00782880" w:rsidP="0078288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9FAB" w14:textId="77777777" w:rsidR="00782880" w:rsidRPr="002D5A16" w:rsidRDefault="00782880" w:rsidP="00782880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Prevención y control de la contaminación a la atmósfera, agua o el suelo </w:t>
            </w:r>
          </w:p>
          <w:p w14:paraId="5A888781" w14:textId="4AF830DB" w:rsidR="00782880" w:rsidRPr="002D5A16" w:rsidRDefault="00782880" w:rsidP="00782880">
            <w:pPr>
              <w:ind w:left="-35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CBC" w14:textId="4A951839" w:rsidR="00782880" w:rsidRPr="002D5A16" w:rsidRDefault="00782880" w:rsidP="00782880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9F36" w14:textId="72908304" w:rsidR="00782880" w:rsidRPr="002D5A16" w:rsidRDefault="00782880" w:rsidP="00782880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D3253D">
              <w:t xml:space="preserve"> 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CF6E" w14:textId="51EF71C0" w:rsidR="00782880" w:rsidRPr="002D5A16" w:rsidRDefault="00782880" w:rsidP="00782880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Este tipo de actuaciones, por su naturaleza, tienen un impacto nulo o insignificante en este objetivo medioambiental.</w:t>
            </w:r>
          </w:p>
        </w:tc>
      </w:tr>
      <w:tr w:rsidR="00F416D4" w:rsidRPr="00AF3182" w14:paraId="2AB46422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79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38661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371ED" w14:textId="19A929E0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y restauración de la biodiversidad y los ecosistemas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7188" w14:textId="77777777" w:rsidR="00F416D4" w:rsidRPr="002D5A16" w:rsidRDefault="00F416D4" w:rsidP="00AF3182">
            <w:pPr>
              <w:ind w:left="6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E3F7B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619B1" w14:textId="14A64AED" w:rsidR="00F416D4" w:rsidRPr="002D5A16" w:rsidRDefault="00782880" w:rsidP="00F416D4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</w:tbl>
    <w:p w14:paraId="7BA95942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2AD23163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09AB5129" w14:textId="77777777" w:rsidR="002D5A16" w:rsidRDefault="002D5A16" w:rsidP="00782880">
      <w:pPr>
        <w:spacing w:after="109" w:line="249" w:lineRule="auto"/>
        <w:jc w:val="both"/>
        <w:rPr>
          <w:rFonts w:eastAsia="Calibri" w:cs="Calibri"/>
          <w:b/>
          <w:color w:val="000000"/>
          <w:lang w:eastAsia="es-ES"/>
        </w:rPr>
      </w:pPr>
    </w:p>
    <w:sectPr w:rsidR="002D5A16" w:rsidSect="006816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B78CC" w14:textId="77777777" w:rsidR="000C4A30" w:rsidRDefault="000C4A30" w:rsidP="00CE55E8">
      <w:pPr>
        <w:spacing w:after="0" w:line="240" w:lineRule="auto"/>
      </w:pPr>
      <w:r>
        <w:separator/>
      </w:r>
    </w:p>
  </w:endnote>
  <w:endnote w:type="continuationSeparator" w:id="0">
    <w:p w14:paraId="72A4CD25" w14:textId="77777777" w:rsidR="000C4A30" w:rsidRDefault="000C4A30" w:rsidP="00CE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EA556" w14:textId="77777777" w:rsidR="000C4A30" w:rsidRDefault="000C4A30" w:rsidP="00CE55E8">
      <w:pPr>
        <w:spacing w:after="0" w:line="240" w:lineRule="auto"/>
      </w:pPr>
      <w:r>
        <w:separator/>
      </w:r>
    </w:p>
  </w:footnote>
  <w:footnote w:type="continuationSeparator" w:id="0">
    <w:p w14:paraId="43F30F4C" w14:textId="77777777" w:rsidR="000C4A30" w:rsidRDefault="000C4A30" w:rsidP="00CE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E9CA" w14:textId="57BB4A53" w:rsidR="00CE55E8" w:rsidRDefault="00681642" w:rsidP="00681642">
    <w:pPr>
      <w:pStyle w:val="Encabezado"/>
      <w:ind w:left="-1134"/>
      <w:jc w:val="center"/>
    </w:pPr>
    <w:r>
      <w:rPr>
        <w:noProof/>
      </w:rPr>
      <w:drawing>
        <wp:inline distT="0" distB="0" distL="0" distR="0" wp14:anchorId="6D83E48B" wp14:editId="7CBF7368">
          <wp:extent cx="6413500" cy="719455"/>
          <wp:effectExtent l="0" t="0" r="635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02D1"/>
    <w:multiLevelType w:val="hybridMultilevel"/>
    <w:tmpl w:val="9350D6BC"/>
    <w:lvl w:ilvl="0" w:tplc="A5CABDD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8FA1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4B17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5F0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D8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C534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055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0C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E9E6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977E4"/>
    <w:multiLevelType w:val="hybridMultilevel"/>
    <w:tmpl w:val="7382B878"/>
    <w:lvl w:ilvl="0" w:tplc="6DB63714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848A4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340AD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0C661E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E6F610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C678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6055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149980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23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06F69"/>
    <w:multiLevelType w:val="hybridMultilevel"/>
    <w:tmpl w:val="DCA8B840"/>
    <w:lvl w:ilvl="0" w:tplc="26DC0A0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7594">
      <w:start w:val="1"/>
      <w:numFmt w:val="lowerLetter"/>
      <w:lvlText w:val="%2"/>
      <w:lvlJc w:val="left"/>
      <w:pPr>
        <w:ind w:left="15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D648">
      <w:start w:val="1"/>
      <w:numFmt w:val="lowerRoman"/>
      <w:lvlText w:val="%3"/>
      <w:lvlJc w:val="left"/>
      <w:pPr>
        <w:ind w:left="22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662AC">
      <w:start w:val="1"/>
      <w:numFmt w:val="decimal"/>
      <w:lvlText w:val="%4"/>
      <w:lvlJc w:val="left"/>
      <w:pPr>
        <w:ind w:left="29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0E20C">
      <w:start w:val="1"/>
      <w:numFmt w:val="lowerLetter"/>
      <w:lvlText w:val="%5"/>
      <w:lvlJc w:val="left"/>
      <w:pPr>
        <w:ind w:left="368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27F2">
      <w:start w:val="1"/>
      <w:numFmt w:val="lowerRoman"/>
      <w:lvlText w:val="%6"/>
      <w:lvlJc w:val="left"/>
      <w:pPr>
        <w:ind w:left="440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CADF0">
      <w:start w:val="1"/>
      <w:numFmt w:val="decimal"/>
      <w:lvlText w:val="%7"/>
      <w:lvlJc w:val="left"/>
      <w:pPr>
        <w:ind w:left="51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D316">
      <w:start w:val="1"/>
      <w:numFmt w:val="lowerLetter"/>
      <w:lvlText w:val="%8"/>
      <w:lvlJc w:val="left"/>
      <w:pPr>
        <w:ind w:left="58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9978">
      <w:start w:val="1"/>
      <w:numFmt w:val="lowerRoman"/>
      <w:lvlText w:val="%9"/>
      <w:lvlJc w:val="left"/>
      <w:pPr>
        <w:ind w:left="65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65FD"/>
    <w:multiLevelType w:val="hybridMultilevel"/>
    <w:tmpl w:val="B90A4A36"/>
    <w:lvl w:ilvl="0" w:tplc="45FC554E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C94F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E0AA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5E2254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C75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82A3BC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83DDC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CD0D8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CC260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77C49"/>
    <w:multiLevelType w:val="hybridMultilevel"/>
    <w:tmpl w:val="3A7874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B4E"/>
    <w:multiLevelType w:val="hybridMultilevel"/>
    <w:tmpl w:val="30E05F90"/>
    <w:lvl w:ilvl="0" w:tplc="701C5B6C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E1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EE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E59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3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1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A7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6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23E6A"/>
    <w:multiLevelType w:val="hybridMultilevel"/>
    <w:tmpl w:val="602E3884"/>
    <w:lvl w:ilvl="0" w:tplc="697ADE18">
      <w:start w:val="8"/>
      <w:numFmt w:val="lowerRoman"/>
      <w:lvlText w:val="%1)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10FFC0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E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8BC80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6C7C4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EC106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0748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2EB4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2F7F6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D1F70"/>
    <w:multiLevelType w:val="hybridMultilevel"/>
    <w:tmpl w:val="A196766C"/>
    <w:lvl w:ilvl="0" w:tplc="8910A91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EF57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26275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8113C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604476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B8E6E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4900C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885A8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42CDD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25BAB"/>
    <w:multiLevelType w:val="hybridMultilevel"/>
    <w:tmpl w:val="D38665FC"/>
    <w:lvl w:ilvl="0" w:tplc="D0FA8D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FE3086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017DC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C2AD0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42634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C5CC8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F424E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6530C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CB230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35D7D"/>
    <w:multiLevelType w:val="hybridMultilevel"/>
    <w:tmpl w:val="AA6EDC42"/>
    <w:lvl w:ilvl="0" w:tplc="7706B510">
      <w:start w:val="3"/>
      <w:numFmt w:val="lowerRoman"/>
      <w:lvlText w:val="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3232AA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82AB74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C52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AB36E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8CF64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52833C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CAE026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5C2532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54C9D"/>
    <w:multiLevelType w:val="hybridMultilevel"/>
    <w:tmpl w:val="E2FEAEFA"/>
    <w:lvl w:ilvl="0" w:tplc="3AC8727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02B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E672A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BB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C84F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0B864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A6E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2041E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E032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D7795"/>
    <w:multiLevelType w:val="hybridMultilevel"/>
    <w:tmpl w:val="9CFAA638"/>
    <w:lvl w:ilvl="0" w:tplc="482C1982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44D9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F0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EFC9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E9B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3AFE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96E31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268C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E85C3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37FB8"/>
    <w:multiLevelType w:val="hybridMultilevel"/>
    <w:tmpl w:val="E7F07E78"/>
    <w:lvl w:ilvl="0" w:tplc="E542C3A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490B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8C9E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80688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E1236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F58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6227C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6C74E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4AF1B0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6339"/>
    <w:multiLevelType w:val="hybridMultilevel"/>
    <w:tmpl w:val="429A7F2E"/>
    <w:lvl w:ilvl="0" w:tplc="9954B370">
      <w:start w:val="6"/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7B1C4088"/>
    <w:multiLevelType w:val="hybridMultilevel"/>
    <w:tmpl w:val="D8CEEAFA"/>
    <w:lvl w:ilvl="0" w:tplc="18DAD69C">
      <w:start w:val="5"/>
      <w:numFmt w:val="lowerRoman"/>
      <w:lvlText w:val="%1)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ACC950">
      <w:start w:val="1"/>
      <w:numFmt w:val="lowerLetter"/>
      <w:lvlText w:val="%2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7A7440">
      <w:start w:val="1"/>
      <w:numFmt w:val="lowerRoman"/>
      <w:lvlText w:val="%3"/>
      <w:lvlJc w:val="left"/>
      <w:pPr>
        <w:ind w:left="2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630D8">
      <w:start w:val="1"/>
      <w:numFmt w:val="decimal"/>
      <w:lvlText w:val="%4"/>
      <w:lvlJc w:val="left"/>
      <w:pPr>
        <w:ind w:left="2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0E44A">
      <w:start w:val="1"/>
      <w:numFmt w:val="lowerLetter"/>
      <w:lvlText w:val="%5"/>
      <w:lvlJc w:val="left"/>
      <w:pPr>
        <w:ind w:left="3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4C420">
      <w:start w:val="1"/>
      <w:numFmt w:val="lowerRoman"/>
      <w:lvlText w:val="%6"/>
      <w:lvlJc w:val="left"/>
      <w:pPr>
        <w:ind w:left="4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8CCBC">
      <w:start w:val="1"/>
      <w:numFmt w:val="decimal"/>
      <w:lvlText w:val="%7"/>
      <w:lvlJc w:val="left"/>
      <w:pPr>
        <w:ind w:left="4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C2AB4">
      <w:start w:val="1"/>
      <w:numFmt w:val="lowerLetter"/>
      <w:lvlText w:val="%8"/>
      <w:lvlJc w:val="left"/>
      <w:pPr>
        <w:ind w:left="5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EA624">
      <w:start w:val="1"/>
      <w:numFmt w:val="lowerRoman"/>
      <w:lvlText w:val="%9"/>
      <w:lvlJc w:val="left"/>
      <w:pPr>
        <w:ind w:left="6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14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9"/>
    <w:rsid w:val="0001123D"/>
    <w:rsid w:val="0007593A"/>
    <w:rsid w:val="00086525"/>
    <w:rsid w:val="000C4A30"/>
    <w:rsid w:val="000C510C"/>
    <w:rsid w:val="00104589"/>
    <w:rsid w:val="001C1699"/>
    <w:rsid w:val="00240FA0"/>
    <w:rsid w:val="002D5A16"/>
    <w:rsid w:val="00383F6C"/>
    <w:rsid w:val="003E6479"/>
    <w:rsid w:val="00455A2E"/>
    <w:rsid w:val="004E35A1"/>
    <w:rsid w:val="00581A3E"/>
    <w:rsid w:val="005F6814"/>
    <w:rsid w:val="00681642"/>
    <w:rsid w:val="006C2AD6"/>
    <w:rsid w:val="006F2126"/>
    <w:rsid w:val="00782880"/>
    <w:rsid w:val="007B5E0E"/>
    <w:rsid w:val="007C4DDC"/>
    <w:rsid w:val="007E5FBE"/>
    <w:rsid w:val="0089737A"/>
    <w:rsid w:val="009138DE"/>
    <w:rsid w:val="00927B43"/>
    <w:rsid w:val="009430AA"/>
    <w:rsid w:val="00AF3182"/>
    <w:rsid w:val="00B21964"/>
    <w:rsid w:val="00B723C4"/>
    <w:rsid w:val="00CE55E8"/>
    <w:rsid w:val="00D5731F"/>
    <w:rsid w:val="00DA61F0"/>
    <w:rsid w:val="00E24A31"/>
    <w:rsid w:val="00E2672E"/>
    <w:rsid w:val="00EC56DD"/>
    <w:rsid w:val="00F1636D"/>
    <w:rsid w:val="00F416D4"/>
    <w:rsid w:val="00F93B5E"/>
    <w:rsid w:val="00FB0903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E6315"/>
  <w15:chartTrackingRefBased/>
  <w15:docId w15:val="{00CD7CDC-44BD-484E-A8E9-87AF2F0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Theme="minorHAnsi" w:hAnsi="Matter Light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qFormat/>
    <w:rsid w:val="003E6479"/>
    <w:pPr>
      <w:keepNext/>
      <w:keepLines/>
      <w:spacing w:after="308" w:line="249" w:lineRule="auto"/>
      <w:ind w:left="152" w:hanging="10"/>
      <w:outlineLvl w:val="0"/>
    </w:pPr>
    <w:rPr>
      <w:rFonts w:ascii="Calibri" w:eastAsia="Calibri" w:hAnsi="Calibri" w:cs="Calibri"/>
      <w:color w:val="2F5496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79"/>
    <w:rPr>
      <w:rFonts w:ascii="Calibri" w:eastAsia="Calibri" w:hAnsi="Calibri" w:cs="Calibri"/>
      <w:color w:val="2F5496"/>
      <w:sz w:val="28"/>
      <w:lang w:eastAsia="es-ES"/>
    </w:rPr>
  </w:style>
  <w:style w:type="paragraph" w:styleId="Prrafodelista">
    <w:name w:val="List Paragraph"/>
    <w:basedOn w:val="Normal"/>
    <w:uiPriority w:val="34"/>
    <w:qFormat/>
    <w:rsid w:val="003E6479"/>
    <w:pPr>
      <w:ind w:left="720"/>
      <w:contextualSpacing/>
    </w:pPr>
  </w:style>
  <w:style w:type="table" w:customStyle="1" w:styleId="TableGrid">
    <w:name w:val="TableGrid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4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40F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F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FA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FA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5FB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5FB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5E8"/>
  </w:style>
  <w:style w:type="paragraph" w:styleId="Piedepgina">
    <w:name w:val="footer"/>
    <w:basedOn w:val="Normal"/>
    <w:link w:val="Piedepgina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E8"/>
  </w:style>
  <w:style w:type="character" w:styleId="Hipervnculovisitado">
    <w:name w:val="FollowedHyperlink"/>
    <w:basedOn w:val="Fuentedeprrafopredeter"/>
    <w:uiPriority w:val="99"/>
    <w:semiHidden/>
    <w:unhideWhenUsed/>
    <w:rsid w:val="00B72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9168-C778-4ED2-B0B3-1E305FB0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6374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Bermúdez, Natascha</dc:creator>
  <cp:keywords/>
  <dc:description/>
  <cp:lastModifiedBy>Molina Sánchez, Diego</cp:lastModifiedBy>
  <cp:revision>4</cp:revision>
  <dcterms:created xsi:type="dcterms:W3CDTF">2026-04-08T19:32:00Z</dcterms:created>
  <dcterms:modified xsi:type="dcterms:W3CDTF">2026-08-04T06:46:00Z</dcterms:modified>
</cp:coreProperties>
</file>